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B49A2" w14:textId="3902DE2E" w:rsidR="00334CCF" w:rsidRDefault="00334CCF" w:rsidP="00334CCF">
      <w:pPr>
        <w:pStyle w:val="Heading2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Supplier Performance Management</w:t>
      </w:r>
    </w:p>
    <w:p w14:paraId="6C84A504" w14:textId="356C6C7B" w:rsidR="00334CCF" w:rsidRDefault="00334CCF" w:rsidP="00334CCF">
      <w:pPr>
        <w:spacing w:before="120" w:after="40"/>
        <w:jc w:val="both"/>
        <w:rPr>
          <w:color w:val="000000"/>
        </w:rPr>
      </w:pPr>
      <w:r>
        <w:rPr>
          <w:color w:val="404545"/>
        </w:rPr>
        <w:t xml:space="preserve">“The </w:t>
      </w:r>
      <w:r>
        <w:rPr>
          <w:color w:val="000000"/>
        </w:rPr>
        <w:t xml:space="preserve">Principles behind the Supplier Performance Management process is to monitor, update supplier performance within database and to </w:t>
      </w:r>
      <w:r w:rsidR="00FF15A4">
        <w:rPr>
          <w:color w:val="000000"/>
        </w:rPr>
        <w:t>centralize records for all suppliers worked with Al Dar</w:t>
      </w:r>
      <w:r>
        <w:rPr>
          <w:color w:val="000000"/>
        </w:rPr>
        <w:t>.</w:t>
      </w:r>
    </w:p>
    <w:p w14:paraId="37BB6A23" w14:textId="77777777" w:rsidR="00334CCF" w:rsidRDefault="00334CCF" w:rsidP="00334CCF">
      <w:pPr>
        <w:spacing w:before="120" w:after="40"/>
        <w:jc w:val="both"/>
        <w:rPr>
          <w:color w:val="000000"/>
        </w:rPr>
      </w:pPr>
      <w:r>
        <w:rPr>
          <w:color w:val="000000"/>
        </w:rPr>
        <w:t>Supplier Performance monitoring aids in identifying and eliminating consistent underperforming suppliers and updating database for suppliers to be considered for forthcoming business opportunities at Aldar. “</w:t>
      </w:r>
    </w:p>
    <w:p w14:paraId="556DCE1A" w14:textId="77777777" w:rsidR="00334CCF" w:rsidRDefault="00334CCF" w:rsidP="00334CCF">
      <w:pPr>
        <w:pStyle w:val="Heading3"/>
        <w:rPr>
          <w:rFonts w:eastAsia="Times New Roman"/>
        </w:rPr>
      </w:pPr>
      <w:r>
        <w:rPr>
          <w:rStyle w:val="Heading3Char"/>
          <w:rFonts w:eastAsia="Times New Roman"/>
          <w:b/>
          <w:bCs/>
          <w:color w:val="000000"/>
          <w:lang w:val="en-GB"/>
        </w:rPr>
        <w:t>“Process Guidelines Description</w:t>
      </w:r>
    </w:p>
    <w:p w14:paraId="7088A2C5" w14:textId="77777777" w:rsidR="00334CCF" w:rsidRDefault="00334CCF" w:rsidP="00334CCF">
      <w:pPr>
        <w:spacing w:before="120" w:after="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            Share supplier performance evaluation</w:t>
      </w:r>
    </w:p>
    <w:p w14:paraId="44D94BEA" w14:textId="77777777" w:rsidR="00334CCF" w:rsidRDefault="00334CCF" w:rsidP="00334CCF">
      <w:pPr>
        <w:autoSpaceDE w:val="0"/>
        <w:autoSpaceDN w:val="0"/>
        <w:spacing w:before="40" w:after="40"/>
        <w:ind w:left="720"/>
        <w:jc w:val="both"/>
        <w:rPr>
          <w:color w:val="000000"/>
        </w:rPr>
      </w:pPr>
      <w:r>
        <w:rPr>
          <w:color w:val="000000"/>
        </w:rPr>
        <w:t xml:space="preserve">Procurements identifies the relevant end user division and share the supplier performance evaluation criteria for evaluation purposes. </w:t>
      </w:r>
    </w:p>
    <w:p w14:paraId="5F421CA8" w14:textId="77777777" w:rsidR="00334CCF" w:rsidRDefault="00334CCF" w:rsidP="00334CCF">
      <w:pPr>
        <w:autoSpaceDE w:val="0"/>
        <w:autoSpaceDN w:val="0"/>
        <w:spacing w:before="40" w:after="40"/>
        <w:ind w:left="720"/>
        <w:jc w:val="both"/>
        <w:rPr>
          <w:color w:val="000000"/>
        </w:rPr>
      </w:pPr>
      <w:r>
        <w:rPr>
          <w:color w:val="000000"/>
        </w:rPr>
        <w:t xml:space="preserve">The frequency of supplier performance evaluation is once every six months. For contract period less than 6 months, supplier evaluation is performed at the end of contract period. </w:t>
      </w:r>
    </w:p>
    <w:p w14:paraId="06525245" w14:textId="77777777" w:rsidR="00334CCF" w:rsidRDefault="00334CCF" w:rsidP="00334CCF">
      <w:pPr>
        <w:spacing w:before="120" w:after="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            Evaluation by relevant end user division</w:t>
      </w:r>
    </w:p>
    <w:p w14:paraId="1F2AD080" w14:textId="77777777" w:rsidR="00334CCF" w:rsidRDefault="00334CCF" w:rsidP="00334CCF">
      <w:pPr>
        <w:autoSpaceDE w:val="0"/>
        <w:autoSpaceDN w:val="0"/>
        <w:spacing w:before="40" w:after="40"/>
        <w:ind w:left="720"/>
        <w:jc w:val="both"/>
        <w:rPr>
          <w:color w:val="000000"/>
        </w:rPr>
      </w:pPr>
      <w:r>
        <w:rPr>
          <w:color w:val="000000"/>
        </w:rPr>
        <w:t>Relevant end user division evaluates the performance of supplier based on their classification category and nature of work.</w:t>
      </w:r>
    </w:p>
    <w:p w14:paraId="488D7127" w14:textId="77777777" w:rsidR="00334CCF" w:rsidRDefault="00334CCF" w:rsidP="00334CCF">
      <w:pPr>
        <w:spacing w:before="120" w:after="40"/>
        <w:jc w:val="both"/>
        <w:rPr>
          <w:color w:val="000000"/>
        </w:rPr>
      </w:pPr>
      <w:r>
        <w:rPr>
          <w:b/>
          <w:bCs/>
          <w:color w:val="000000"/>
        </w:rPr>
        <w:t>3.            Update supplier database</w:t>
      </w:r>
    </w:p>
    <w:p w14:paraId="753AB6E9" w14:textId="77777777" w:rsidR="00334CCF" w:rsidRDefault="00334CCF" w:rsidP="00334CCF">
      <w:pPr>
        <w:autoSpaceDE w:val="0"/>
        <w:autoSpaceDN w:val="0"/>
        <w:spacing w:before="40" w:after="40"/>
        <w:ind w:left="720"/>
        <w:jc w:val="both"/>
        <w:rPr>
          <w:color w:val="000000"/>
        </w:rPr>
      </w:pPr>
      <w:r>
        <w:rPr>
          <w:color w:val="000000"/>
        </w:rPr>
        <w:t>Upon receiving feedback from relevant end user division, Procurement updates the supplier database.</w:t>
      </w:r>
    </w:p>
    <w:p w14:paraId="68880F5D" w14:textId="77777777" w:rsidR="00334CCF" w:rsidRDefault="00334CCF" w:rsidP="00334CCF">
      <w:pPr>
        <w:spacing w:before="120" w:after="40"/>
        <w:jc w:val="both"/>
        <w:rPr>
          <w:color w:val="000000"/>
        </w:rPr>
      </w:pPr>
      <w:r>
        <w:rPr>
          <w:b/>
          <w:bCs/>
          <w:color w:val="000000"/>
        </w:rPr>
        <w:t xml:space="preserve">4.            Update category Supplier </w:t>
      </w:r>
    </w:p>
    <w:p w14:paraId="46C25367" w14:textId="77777777" w:rsidR="00334CCF" w:rsidRDefault="00334CCF" w:rsidP="00334CCF">
      <w:pPr>
        <w:autoSpaceDE w:val="0"/>
        <w:autoSpaceDN w:val="0"/>
        <w:spacing w:before="40" w:after="40"/>
        <w:ind w:left="720"/>
        <w:jc w:val="both"/>
        <w:rPr>
          <w:color w:val="000000"/>
        </w:rPr>
      </w:pPr>
      <w:r>
        <w:rPr>
          <w:color w:val="000000"/>
        </w:rPr>
        <w:t>For repeated non-performers, Procurement to re-visit the bidder list included under the category supplier and proceed for supplier suspension in database accordingly.”</w:t>
      </w:r>
    </w:p>
    <w:p w14:paraId="7FBAC770" w14:textId="77777777" w:rsidR="0045317B" w:rsidRDefault="0045317B"/>
    <w:sectPr w:rsidR="00453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649B" w14:textId="77777777" w:rsidR="0098517F" w:rsidRDefault="0098517F" w:rsidP="00334CCF">
      <w:r>
        <w:separator/>
      </w:r>
    </w:p>
  </w:endnote>
  <w:endnote w:type="continuationSeparator" w:id="0">
    <w:p w14:paraId="25D5E2D0" w14:textId="77777777" w:rsidR="0098517F" w:rsidRDefault="0098517F" w:rsidP="0033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D9CA9" w14:textId="77777777" w:rsidR="00334CCF" w:rsidRDefault="00334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B009" w14:textId="77777777" w:rsidR="00334CCF" w:rsidRDefault="00334C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D9B7" w14:textId="77777777" w:rsidR="00334CCF" w:rsidRDefault="00334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B3B5E" w14:textId="77777777" w:rsidR="0098517F" w:rsidRDefault="0098517F" w:rsidP="00334CCF">
      <w:r>
        <w:separator/>
      </w:r>
    </w:p>
  </w:footnote>
  <w:footnote w:type="continuationSeparator" w:id="0">
    <w:p w14:paraId="762907EA" w14:textId="77777777" w:rsidR="0098517F" w:rsidRDefault="0098517F" w:rsidP="0033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7FC46" w14:textId="77777777" w:rsidR="00334CCF" w:rsidRDefault="00334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8C28" w14:textId="47B646B7" w:rsidR="00334CCF" w:rsidRPr="00334CCF" w:rsidRDefault="00334CCF">
    <w:pPr>
      <w:pStyle w:val="Header"/>
      <w:rPr>
        <w:sz w:val="36"/>
        <w:szCs w:val="36"/>
      </w:rPr>
    </w:pPr>
    <w:r w:rsidRPr="00334CCF">
      <w:rPr>
        <w:sz w:val="36"/>
        <w:szCs w:val="36"/>
      </w:rPr>
      <w:t xml:space="preserve">Supplier Performance Management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285F8" w14:textId="77777777" w:rsidR="00334CCF" w:rsidRDefault="00334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CF"/>
    <w:rsid w:val="00334CCF"/>
    <w:rsid w:val="0045317B"/>
    <w:rsid w:val="0098517F"/>
    <w:rsid w:val="00A966E8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EF17"/>
  <w15:chartTrackingRefBased/>
  <w15:docId w15:val="{93B213E6-C541-4143-ADD2-BF8247D7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CF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34CCF"/>
    <w:pPr>
      <w:spacing w:before="120" w:after="120" w:line="276" w:lineRule="auto"/>
      <w:ind w:left="426" w:hanging="425"/>
      <w:jc w:val="both"/>
      <w:outlineLvl w:val="1"/>
    </w:pPr>
    <w:rPr>
      <w:rFonts w:ascii="DINPro-Regular" w:hAnsi="DINPro-Regular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34CCF"/>
    <w:pPr>
      <w:spacing w:before="120" w:after="40" w:line="276" w:lineRule="auto"/>
      <w:jc w:val="both"/>
      <w:outlineLvl w:val="2"/>
    </w:pPr>
    <w:rPr>
      <w:rFonts w:ascii="DINPro-Regular" w:hAnsi="DINPro-Regula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34CCF"/>
    <w:rPr>
      <w:rFonts w:ascii="DINPro-Regular" w:hAnsi="DINPro-Regular" w:cs="Calibr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CCF"/>
    <w:rPr>
      <w:rFonts w:ascii="DINPro-Regular" w:hAnsi="DINPro-Regular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4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CC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4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CC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Amaish Al Jabri</dc:creator>
  <cp:keywords/>
  <dc:description/>
  <cp:lastModifiedBy>Amaish Al Jabri</cp:lastModifiedBy>
  <cp:revision>2</cp:revision>
  <dcterms:created xsi:type="dcterms:W3CDTF">2020-12-17T11:48:00Z</dcterms:created>
  <dcterms:modified xsi:type="dcterms:W3CDTF">2020-12-17T11:48:00Z</dcterms:modified>
</cp:coreProperties>
</file>